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9177" w14:textId="77777777" w:rsidR="00DE124B" w:rsidRPr="009B4894" w:rsidRDefault="00DE124B" w:rsidP="00DE124B">
      <w:pPr>
        <w:pStyle w:val="Titre2"/>
      </w:pPr>
      <w:bookmarkStart w:id="0" w:name="_Toc439270778"/>
      <w:r>
        <w:t>Grand Prix de l’Isère</w:t>
      </w:r>
      <w:bookmarkEnd w:id="0"/>
    </w:p>
    <w:p w14:paraId="5F494E0E" w14:textId="77777777" w:rsidR="00DE124B" w:rsidRDefault="00DE124B" w:rsidP="00CA0F33">
      <w:pPr>
        <w:pStyle w:val="00Ligne"/>
      </w:pPr>
    </w:p>
    <w:p w14:paraId="1A446866" w14:textId="37D505CF" w:rsidR="00DE124B" w:rsidRPr="00DE6AD8" w:rsidRDefault="00DE124B" w:rsidP="00CA0F33">
      <w:pPr>
        <w:pStyle w:val="05CGParag"/>
      </w:pPr>
      <w:r w:rsidRPr="00002160">
        <w:t>2</w:t>
      </w:r>
      <w:r w:rsidR="00695673">
        <w:t>7</w:t>
      </w:r>
      <w:r w:rsidRPr="00002160">
        <w:t xml:space="preserve"> </w:t>
      </w:r>
      <w:r w:rsidR="00115494">
        <w:t>au</w:t>
      </w:r>
      <w:r w:rsidRPr="00002160">
        <w:t xml:space="preserve"> </w:t>
      </w:r>
      <w:r w:rsidR="00695673">
        <w:t>29</w:t>
      </w:r>
      <w:r w:rsidRPr="00002160">
        <w:t xml:space="preserve"> mars 20</w:t>
      </w:r>
      <w:r w:rsidR="00695673">
        <w:t>20</w:t>
      </w:r>
      <w:r w:rsidRPr="00002160">
        <w:t xml:space="preserve"> -</w:t>
      </w:r>
      <w:r w:rsidRPr="002C592B">
        <w:t xml:space="preserve"> Charmeil</w:t>
      </w:r>
    </w:p>
    <w:p w14:paraId="4D65C774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54A18209" w14:textId="77777777" w:rsidR="00CA0F33" w:rsidRPr="00B556C8" w:rsidRDefault="00CA0F33" w:rsidP="00CA0F33">
      <w:pPr>
        <w:pStyle w:val="00Ligne"/>
      </w:pPr>
    </w:p>
    <w:p w14:paraId="53066564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7A48E8">
        <w:t>ffgolf</w:t>
      </w:r>
      <w:r>
        <w:t xml:space="preserve"> et de la Ligue.</w:t>
      </w:r>
    </w:p>
    <w:p w14:paraId="376C8A2A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59FD491E" w14:textId="77777777" w:rsidR="00DC17EE" w:rsidRPr="00247D96" w:rsidRDefault="00DC17EE" w:rsidP="00DC17EE">
      <w:pPr>
        <w:pStyle w:val="Titre3"/>
      </w:pPr>
      <w:r w:rsidRPr="00B556C8">
        <w:t>C</w:t>
      </w:r>
      <w:r>
        <w:t>alendrier</w:t>
      </w:r>
    </w:p>
    <w:p w14:paraId="64EAF843" w14:textId="74D2D710" w:rsidR="00DC17EE" w:rsidRDefault="00483514" w:rsidP="00483514">
      <w:pPr>
        <w:pStyle w:val="01Paragraphe"/>
        <w:tabs>
          <w:tab w:val="right" w:pos="4536"/>
          <w:tab w:val="left" w:pos="4820"/>
        </w:tabs>
      </w:pPr>
      <w:r>
        <w:tab/>
      </w:r>
      <w:r w:rsidR="00DC17EE">
        <w:t xml:space="preserve">Clôture des inscriptions : </w:t>
      </w:r>
      <w:r>
        <w:tab/>
      </w:r>
      <w:r w:rsidR="000B5238">
        <w:rPr>
          <w:b/>
        </w:rPr>
        <w:t>jeudi</w:t>
      </w:r>
      <w:r w:rsidR="00DC17EE" w:rsidRPr="00D56219">
        <w:rPr>
          <w:b/>
        </w:rPr>
        <w:t xml:space="preserve"> </w:t>
      </w:r>
      <w:r w:rsidR="0077075F">
        <w:rPr>
          <w:b/>
        </w:rPr>
        <w:t>1</w:t>
      </w:r>
      <w:r w:rsidR="00695673">
        <w:rPr>
          <w:b/>
        </w:rPr>
        <w:t>2</w:t>
      </w:r>
      <w:r w:rsidR="00DC17EE" w:rsidRPr="00D56219">
        <w:rPr>
          <w:b/>
        </w:rPr>
        <w:t xml:space="preserve"> </w:t>
      </w:r>
      <w:r w:rsidR="00DC17EE" w:rsidRPr="00695673">
        <w:rPr>
          <w:b/>
        </w:rPr>
        <w:t xml:space="preserve">mars </w:t>
      </w:r>
      <w:r w:rsidR="00695673" w:rsidRPr="00695673">
        <w:rPr>
          <w:b/>
        </w:rPr>
        <w:t>2020</w:t>
      </w:r>
      <w:r w:rsidR="00DC17EE" w:rsidRPr="00695673">
        <w:rPr>
          <w:b/>
        </w:rPr>
        <w:t>.</w:t>
      </w:r>
    </w:p>
    <w:p w14:paraId="2542FF8D" w14:textId="64D3661B" w:rsidR="00DC17EE" w:rsidRDefault="00483514" w:rsidP="00483514">
      <w:pPr>
        <w:pStyle w:val="01Paragraphe"/>
        <w:tabs>
          <w:tab w:val="right" w:pos="4536"/>
          <w:tab w:val="left" w:pos="4820"/>
        </w:tabs>
      </w:pPr>
      <w:r>
        <w:tab/>
      </w:r>
      <w:r w:rsidR="00DC17EE">
        <w:t xml:space="preserve">Contrôle des inscrits : </w:t>
      </w:r>
      <w:r>
        <w:tab/>
      </w:r>
      <w:r w:rsidR="00343E27">
        <w:rPr>
          <w:b/>
        </w:rPr>
        <w:t>vendre</w:t>
      </w:r>
      <w:r w:rsidR="00DC17EE" w:rsidRPr="00D56219">
        <w:rPr>
          <w:b/>
        </w:rPr>
        <w:t xml:space="preserve">di </w:t>
      </w:r>
      <w:r w:rsidR="0077075F">
        <w:rPr>
          <w:b/>
        </w:rPr>
        <w:t>1</w:t>
      </w:r>
      <w:r w:rsidR="00695673">
        <w:rPr>
          <w:b/>
        </w:rPr>
        <w:t>3</w:t>
      </w:r>
      <w:r w:rsidR="00DC17EE" w:rsidRPr="00D56219">
        <w:rPr>
          <w:b/>
        </w:rPr>
        <w:t xml:space="preserve"> mars </w:t>
      </w:r>
      <w:r w:rsidR="00695673" w:rsidRPr="00695673">
        <w:rPr>
          <w:b/>
        </w:rPr>
        <w:t>2020</w:t>
      </w:r>
    </w:p>
    <w:p w14:paraId="16529C91" w14:textId="4EE0354F" w:rsidR="00DC17EE" w:rsidRDefault="00483514" w:rsidP="00483514">
      <w:pPr>
        <w:pStyle w:val="01Paragraphe"/>
        <w:tabs>
          <w:tab w:val="right" w:pos="4536"/>
          <w:tab w:val="left" w:pos="4820"/>
        </w:tabs>
      </w:pPr>
      <w:r>
        <w:tab/>
      </w:r>
      <w:r w:rsidR="00DC17EE">
        <w:t xml:space="preserve">Publication Liste des inscrits et Liste d’attente : </w:t>
      </w:r>
      <w:r>
        <w:tab/>
      </w:r>
      <w:r w:rsidR="00DC17EE" w:rsidRPr="00994478">
        <w:rPr>
          <w:b/>
        </w:rPr>
        <w:t>mardi 1</w:t>
      </w:r>
      <w:r w:rsidR="00695673">
        <w:rPr>
          <w:b/>
        </w:rPr>
        <w:t>7</w:t>
      </w:r>
      <w:r w:rsidR="00DC17EE" w:rsidRPr="00994478">
        <w:rPr>
          <w:b/>
        </w:rPr>
        <w:t xml:space="preserve"> </w:t>
      </w:r>
      <w:r w:rsidR="00DC17EE" w:rsidRPr="00D56219">
        <w:rPr>
          <w:b/>
        </w:rPr>
        <w:t xml:space="preserve">mars </w:t>
      </w:r>
      <w:r w:rsidR="00695673" w:rsidRPr="00695673">
        <w:rPr>
          <w:b/>
        </w:rPr>
        <w:t>2020</w:t>
      </w:r>
      <w:r w:rsidR="00695673">
        <w:rPr>
          <w:b/>
        </w:rPr>
        <w:t xml:space="preserve"> </w:t>
      </w:r>
      <w:r w:rsidR="00DC17EE" w:rsidRPr="00D56219">
        <w:rPr>
          <w:b/>
        </w:rPr>
        <w:t>à 14h00</w:t>
      </w:r>
    </w:p>
    <w:p w14:paraId="7A4D2011" w14:textId="0A6A06F9" w:rsidR="004B083F" w:rsidRDefault="00483514" w:rsidP="00483514">
      <w:pPr>
        <w:pStyle w:val="01Paragraphe"/>
        <w:tabs>
          <w:tab w:val="right" w:pos="4536"/>
          <w:tab w:val="left" w:pos="4820"/>
        </w:tabs>
      </w:pPr>
      <w:r>
        <w:tab/>
      </w:r>
      <w:r w:rsidR="004B083F">
        <w:t xml:space="preserve">Publication des départs : </w:t>
      </w:r>
      <w:r>
        <w:tab/>
      </w:r>
      <w:r w:rsidR="004B083F">
        <w:rPr>
          <w:b/>
        </w:rPr>
        <w:t>mercred</w:t>
      </w:r>
      <w:r w:rsidR="004B083F" w:rsidRPr="00673177">
        <w:rPr>
          <w:b/>
        </w:rPr>
        <w:t xml:space="preserve">i </w:t>
      </w:r>
      <w:r w:rsidR="004B083F">
        <w:rPr>
          <w:b/>
        </w:rPr>
        <w:t>2</w:t>
      </w:r>
      <w:r w:rsidR="00695673">
        <w:rPr>
          <w:b/>
        </w:rPr>
        <w:t>5</w:t>
      </w:r>
      <w:r w:rsidR="004B083F" w:rsidRPr="00673177">
        <w:rPr>
          <w:b/>
        </w:rPr>
        <w:t xml:space="preserve"> mars </w:t>
      </w:r>
      <w:r w:rsidR="00695673" w:rsidRPr="00695673">
        <w:rPr>
          <w:b/>
        </w:rPr>
        <w:t>2020</w:t>
      </w:r>
      <w:r w:rsidR="00695673">
        <w:rPr>
          <w:b/>
        </w:rPr>
        <w:t xml:space="preserve"> </w:t>
      </w:r>
      <w:r w:rsidR="004B083F" w:rsidRPr="00673177">
        <w:rPr>
          <w:b/>
        </w:rPr>
        <w:t>à 14h00</w:t>
      </w:r>
      <w:r w:rsidR="004B083F">
        <w:t>.</w:t>
      </w:r>
    </w:p>
    <w:p w14:paraId="7BD4319F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16808DEF" w14:textId="77777777" w:rsidR="00DE124B" w:rsidRPr="007A106D" w:rsidRDefault="00DE124B" w:rsidP="00CA0F33">
      <w:pPr>
        <w:pStyle w:val="01Paragraphe"/>
      </w:pPr>
      <w:r w:rsidRPr="00CA0F33">
        <w:t xml:space="preserve">Epreuve ouverte aux joueuses et joueurs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5CD1D653" w14:textId="77777777" w:rsidR="00DE124B" w:rsidRDefault="00DE124B" w:rsidP="00CA0F33">
      <w:pPr>
        <w:pStyle w:val="01Paragraphe"/>
      </w:pPr>
      <w:bookmarkStart w:id="1" w:name="_Hlk498422267"/>
      <w:r w:rsidRPr="007A106D">
        <w:t>Licence active</w:t>
      </w:r>
      <w:r w:rsidR="00741866">
        <w:t>,</w:t>
      </w:r>
      <w:r w:rsidRPr="007A106D">
        <w:t xml:space="preserve"> certificat médical de l’année e</w:t>
      </w:r>
      <w:r w:rsidR="00741866">
        <w:t>n cours 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bookmarkEnd w:id="1"/>
    <w:p w14:paraId="79181972" w14:textId="77777777" w:rsidR="00C66130" w:rsidRPr="00247D96" w:rsidRDefault="00C66130" w:rsidP="00CA0F33">
      <w:pPr>
        <w:pStyle w:val="02GParag"/>
      </w:pPr>
      <w:r>
        <w:t xml:space="preserve">Limitation </w:t>
      </w:r>
      <w:r w:rsidRPr="00CA0F33">
        <w:t>d’Index</w:t>
      </w:r>
    </w:p>
    <w:p w14:paraId="2C952ED0" w14:textId="0EF1A1E6" w:rsidR="00C66130" w:rsidRPr="008564C8" w:rsidRDefault="00C66130" w:rsidP="00CA0F33">
      <w:pPr>
        <w:pStyle w:val="11Puce"/>
      </w:pPr>
      <w:r>
        <w:t>J</w:t>
      </w:r>
      <w:r w:rsidRPr="008564C8">
        <w:t>oueuses dont l’index est inférieur ou égal à 1</w:t>
      </w:r>
      <w:r w:rsidR="00695673">
        <w:t>2</w:t>
      </w:r>
      <w:r w:rsidRPr="008564C8">
        <w:t>,4.</w:t>
      </w:r>
    </w:p>
    <w:p w14:paraId="7231B9E6" w14:textId="20ADC3BC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="00695673">
        <w:t>9</w:t>
      </w:r>
      <w:r w:rsidRPr="008564C8">
        <w:t>,4.</w:t>
      </w:r>
    </w:p>
    <w:p w14:paraId="78B5B2AC" w14:textId="77777777" w:rsidR="00C66130" w:rsidRDefault="00C66130" w:rsidP="00CA0F33">
      <w:pPr>
        <w:pStyle w:val="01Paragraphe"/>
      </w:pPr>
      <w:bookmarkStart w:id="2" w:name="_Hlk504403046"/>
      <w:r w:rsidRPr="000302AA">
        <w:t xml:space="preserve">Cette limite d’index s’applique uniquement aux joueurs </w:t>
      </w:r>
      <w:r w:rsidR="0077108D">
        <w:t xml:space="preserve">et joueuses </w:t>
      </w:r>
      <w:r w:rsidRPr="000302AA">
        <w:t xml:space="preserve">qui </w:t>
      </w:r>
      <w:r w:rsidR="0077108D">
        <w:t xml:space="preserve">ne </w:t>
      </w:r>
      <w:r w:rsidRPr="000302AA">
        <w:t xml:space="preserve">rentreraient dans le champ </w:t>
      </w:r>
      <w:r w:rsidR="0077108D">
        <w:t>qu’</w:t>
      </w:r>
      <w:r w:rsidRPr="000302AA">
        <w:t>à partir de ce critère.</w:t>
      </w:r>
    </w:p>
    <w:bookmarkEnd w:id="2"/>
    <w:p w14:paraId="6D947614" w14:textId="77777777" w:rsidR="00EB4EA7" w:rsidRPr="00247D96" w:rsidRDefault="00EB4EA7" w:rsidP="00EB4EA7">
      <w:pPr>
        <w:pStyle w:val="Titre3"/>
      </w:pPr>
      <w:r>
        <w:t>Formule de jeu</w:t>
      </w:r>
    </w:p>
    <w:p w14:paraId="7382D85F" w14:textId="77777777" w:rsidR="00672F82" w:rsidRDefault="00672F82" w:rsidP="00CA0F33">
      <w:pPr>
        <w:pStyle w:val="01Paragraphe"/>
      </w:pPr>
      <w:r>
        <w:t>54 t</w:t>
      </w:r>
      <w:r w:rsidR="00EB4EA7" w:rsidRPr="007A106D">
        <w:t>rous Stroke-Play en Individuel Brut – 18 trous par jour.</w:t>
      </w:r>
      <w:r w:rsidRPr="00672F82">
        <w:t xml:space="preserve"> </w:t>
      </w:r>
    </w:p>
    <w:p w14:paraId="7DB39F22" w14:textId="77777777" w:rsidR="00775D73" w:rsidRDefault="00775D73" w:rsidP="00CA0F33">
      <w:pPr>
        <w:pStyle w:val="02GParag"/>
      </w:pPr>
      <w:r>
        <w:t>Cut</w:t>
      </w:r>
    </w:p>
    <w:p w14:paraId="6EECC778" w14:textId="77777777" w:rsidR="00775D73" w:rsidRPr="00775D73" w:rsidRDefault="00672F82" w:rsidP="00CA0F33">
      <w:pPr>
        <w:pStyle w:val="01Paragraphe"/>
      </w:pPr>
      <w:r w:rsidRPr="00775D73">
        <w:t xml:space="preserve">Cut après 36 trous : </w:t>
      </w:r>
    </w:p>
    <w:p w14:paraId="0CAD4AFF" w14:textId="77777777" w:rsidR="00775D73" w:rsidRPr="00775D73" w:rsidRDefault="00910B82" w:rsidP="00CA0F33">
      <w:pPr>
        <w:pStyle w:val="11Puce"/>
      </w:pPr>
      <w:r>
        <w:t>18</w:t>
      </w:r>
      <w:r w:rsidR="00775D73" w:rsidRPr="00775D73">
        <w:t xml:space="preserve"> premièr</w:t>
      </w:r>
      <w:r w:rsidR="00775D73">
        <w:t>e</w:t>
      </w:r>
      <w:r w:rsidR="00775D73" w:rsidRPr="00775D73">
        <w:t>s joueuses et ex-aequo.</w:t>
      </w:r>
    </w:p>
    <w:p w14:paraId="6F22CA9D" w14:textId="77777777" w:rsidR="00775D73" w:rsidRDefault="00775D73" w:rsidP="00CA0F33">
      <w:pPr>
        <w:pStyle w:val="11Puce"/>
      </w:pPr>
      <w:r w:rsidRPr="00775D73">
        <w:t>4</w:t>
      </w:r>
      <w:r w:rsidR="0066476D">
        <w:t>5</w:t>
      </w:r>
      <w:r w:rsidRPr="00775D73">
        <w:t xml:space="preserve"> premiers joueurs et ex-aequo.</w:t>
      </w:r>
    </w:p>
    <w:p w14:paraId="24C3C8CC" w14:textId="77777777" w:rsidR="00EB4EA7" w:rsidRDefault="00EB4EA7" w:rsidP="00CA0F33">
      <w:pPr>
        <w:pStyle w:val="02GParag"/>
      </w:pPr>
      <w:r>
        <w:t>Séries - marques de départ</w:t>
      </w:r>
    </w:p>
    <w:p w14:paraId="05FAF2FC" w14:textId="77777777"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0C6CDD">
        <w:t>repère IV (bleu)</w:t>
      </w:r>
      <w:r w:rsidRPr="006B3203">
        <w:t>.</w:t>
      </w:r>
    </w:p>
    <w:p w14:paraId="07485BDB" w14:textId="77777777" w:rsidR="00EB4EA7" w:rsidRPr="00C16BF2" w:rsidRDefault="00EB4EA7" w:rsidP="00CA0F33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0C6CDD">
        <w:t>repère II (blanc)</w:t>
      </w:r>
      <w:r w:rsidRPr="00C16BF2">
        <w:t>.</w:t>
      </w:r>
    </w:p>
    <w:p w14:paraId="7DF89DC6" w14:textId="77777777" w:rsidR="00EB4EA7" w:rsidRDefault="00EB4EA7" w:rsidP="00CA0F33">
      <w:pPr>
        <w:pStyle w:val="02GParag"/>
      </w:pPr>
      <w:r>
        <w:t>Départage</w:t>
      </w:r>
    </w:p>
    <w:p w14:paraId="45C99E21" w14:textId="77777777" w:rsidR="00EB4EA7" w:rsidRPr="00C455CB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les trous 1 et 18, en répétition le cas échéant.</w:t>
      </w:r>
    </w:p>
    <w:p w14:paraId="62C432B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1BDAE223" w14:textId="77777777" w:rsidR="007A48E8" w:rsidRPr="00C455CB" w:rsidRDefault="007A48E8" w:rsidP="007A48E8">
      <w:pPr>
        <w:pStyle w:val="02GParag"/>
      </w:pPr>
      <w:r>
        <w:t>Comportement et Etiquette</w:t>
      </w:r>
    </w:p>
    <w:p w14:paraId="37222704" w14:textId="77777777" w:rsidR="007A48E8" w:rsidRDefault="007A48E8" w:rsidP="007A48E8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p w14:paraId="343F972D" w14:textId="77777777" w:rsidR="007A48E8" w:rsidRDefault="007A48E8" w:rsidP="007A48E8">
      <w:pPr>
        <w:pStyle w:val="01Paragraphe"/>
      </w:pPr>
    </w:p>
    <w:p w14:paraId="06976135" w14:textId="77777777" w:rsidR="007A48E8" w:rsidRDefault="007A48E8" w:rsidP="007A48E8">
      <w:pPr>
        <w:pStyle w:val="01Paragraphe"/>
      </w:pPr>
    </w:p>
    <w:p w14:paraId="7878E925" w14:textId="77777777" w:rsidR="007A48E8" w:rsidRDefault="007A48E8">
      <w:pPr>
        <w:suppressAutoHyphens w:val="0"/>
        <w:spacing w:after="160" w:line="259" w:lineRule="auto"/>
        <w:contextualSpacing w:val="0"/>
        <w:rPr>
          <w:sz w:val="22"/>
          <w:lang w:eastAsia="fr-FR"/>
        </w:rPr>
      </w:pPr>
      <w:r>
        <w:br w:type="page"/>
      </w:r>
    </w:p>
    <w:p w14:paraId="519527CD" w14:textId="77777777" w:rsidR="0066476D" w:rsidRDefault="0066476D" w:rsidP="00CA0F33">
      <w:pPr>
        <w:pStyle w:val="00Ligne"/>
      </w:pPr>
    </w:p>
    <w:p w14:paraId="6224CAF2" w14:textId="77777777" w:rsidR="00D56219" w:rsidRDefault="00D56219" w:rsidP="00D56219">
      <w:pPr>
        <w:pStyle w:val="Titre3"/>
      </w:pPr>
      <w:r>
        <w:t>Engagement</w:t>
      </w:r>
    </w:p>
    <w:p w14:paraId="388AA033" w14:textId="77777777" w:rsidR="00D56219" w:rsidRPr="00602856" w:rsidRDefault="00D56219" w:rsidP="00CA0F33">
      <w:pPr>
        <w:pStyle w:val="02GParag"/>
      </w:pPr>
      <w:r>
        <w:t>Inscriptions</w:t>
      </w:r>
    </w:p>
    <w:p w14:paraId="393088CA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7A106D">
        <w:t>Golf de Charmeil</w:t>
      </w:r>
      <w:r>
        <w:t>.</w:t>
      </w:r>
    </w:p>
    <w:p w14:paraId="15FC7312" w14:textId="77777777" w:rsidR="00D56219" w:rsidRDefault="00D56219" w:rsidP="00CA0F33">
      <w:pPr>
        <w:pStyle w:val="02GParag"/>
      </w:pPr>
      <w:r>
        <w:t>Droits d’engagement</w:t>
      </w:r>
    </w:p>
    <w:p w14:paraId="10D72A2C" w14:textId="77777777" w:rsidR="00247AED" w:rsidRPr="00602856" w:rsidRDefault="00247AED" w:rsidP="00CA0F33">
      <w:pPr>
        <w:pStyle w:val="00Ligne"/>
      </w:pP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4825"/>
        <w:gridCol w:w="987"/>
        <w:gridCol w:w="2268"/>
        <w:gridCol w:w="987"/>
      </w:tblGrid>
      <w:tr w:rsidR="00F17797" w14:paraId="5729A343" w14:textId="77777777" w:rsidTr="00F17797">
        <w:tc>
          <w:tcPr>
            <w:tcW w:w="4825" w:type="dxa"/>
          </w:tcPr>
          <w:p w14:paraId="2979890B" w14:textId="77777777" w:rsidR="00F17797" w:rsidRDefault="00F17797" w:rsidP="00CA0F33">
            <w:pPr>
              <w:pStyle w:val="01Paragraphe"/>
            </w:pPr>
            <w:bookmarkStart w:id="3" w:name="_Hlk498422178"/>
            <w:r>
              <w:t>Adultes</w:t>
            </w:r>
          </w:p>
        </w:tc>
        <w:tc>
          <w:tcPr>
            <w:tcW w:w="987" w:type="dxa"/>
          </w:tcPr>
          <w:p w14:paraId="368B212C" w14:textId="77777777" w:rsidR="00F17797" w:rsidRDefault="00F17797" w:rsidP="00CA0F33">
            <w:pPr>
              <w:pStyle w:val="01Paragraphe"/>
            </w:pPr>
            <w:r>
              <w:t>10</w:t>
            </w:r>
            <w:r w:rsidR="00247AED">
              <w:t>0 €</w:t>
            </w:r>
          </w:p>
        </w:tc>
        <w:tc>
          <w:tcPr>
            <w:tcW w:w="2268" w:type="dxa"/>
          </w:tcPr>
          <w:p w14:paraId="128454FA" w14:textId="77777777" w:rsidR="00F17797" w:rsidRDefault="00F17797" w:rsidP="00CA0F33">
            <w:pPr>
              <w:pStyle w:val="01Paragraphe"/>
            </w:pPr>
            <w:r>
              <w:t>Abonnés Charmeil</w:t>
            </w:r>
          </w:p>
        </w:tc>
        <w:tc>
          <w:tcPr>
            <w:tcW w:w="987" w:type="dxa"/>
          </w:tcPr>
          <w:p w14:paraId="79BCB2F0" w14:textId="77777777" w:rsidR="00F17797" w:rsidRPr="00200E70" w:rsidRDefault="00F17797" w:rsidP="00CA0F33">
            <w:pPr>
              <w:pStyle w:val="01Paragraphe"/>
            </w:pPr>
            <w:r w:rsidRPr="00200E70">
              <w:t>40 €</w:t>
            </w:r>
          </w:p>
        </w:tc>
      </w:tr>
      <w:tr w:rsidR="00F17797" w14:paraId="25ED2B07" w14:textId="77777777" w:rsidTr="00F17797">
        <w:tc>
          <w:tcPr>
            <w:tcW w:w="4825" w:type="dxa"/>
          </w:tcPr>
          <w:p w14:paraId="736927C4" w14:textId="5A5D46DE" w:rsidR="00F17797" w:rsidRDefault="00F17797" w:rsidP="00CA0F33">
            <w:pPr>
              <w:pStyle w:val="01Paragraphe"/>
            </w:pPr>
            <w:r>
              <w:t>J</w:t>
            </w:r>
            <w:r w:rsidRPr="00BB26B0">
              <w:t xml:space="preserve">oueurs </w:t>
            </w:r>
            <w:r>
              <w:t>de</w:t>
            </w:r>
            <w:r w:rsidR="00C97ACF">
              <w:t xml:space="preserve"> </w:t>
            </w:r>
            <w:r>
              <w:t xml:space="preserve">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>199</w:t>
            </w:r>
            <w:r w:rsidR="00695673">
              <w:t>5</w:t>
            </w:r>
            <w:r w:rsidRPr="00994478">
              <w:t xml:space="preserve"> et </w:t>
            </w:r>
            <w:r w:rsidR="00D85479">
              <w:t>200</w:t>
            </w:r>
            <w:r w:rsidR="00695673">
              <w:t>1</w:t>
            </w:r>
            <w:r w:rsidRPr="00994478">
              <w:t>)</w:t>
            </w:r>
          </w:p>
        </w:tc>
        <w:tc>
          <w:tcPr>
            <w:tcW w:w="987" w:type="dxa"/>
          </w:tcPr>
          <w:p w14:paraId="24276FA8" w14:textId="77777777" w:rsidR="00F17797" w:rsidRDefault="00F17797" w:rsidP="00CA0F33">
            <w:pPr>
              <w:pStyle w:val="01Paragraphe"/>
            </w:pPr>
            <w:r>
              <w:t>50 €</w:t>
            </w:r>
          </w:p>
        </w:tc>
        <w:tc>
          <w:tcPr>
            <w:tcW w:w="2268" w:type="dxa"/>
          </w:tcPr>
          <w:p w14:paraId="17F357C6" w14:textId="77777777" w:rsidR="00F17797" w:rsidRDefault="002B6DED" w:rsidP="00CA0F33">
            <w:pPr>
              <w:pStyle w:val="01Paragraphe"/>
            </w:pPr>
            <w:r>
              <w:t>Ecole de G</w:t>
            </w:r>
            <w:r w:rsidR="00F17797">
              <w:t>olf Charmeil</w:t>
            </w:r>
          </w:p>
        </w:tc>
        <w:tc>
          <w:tcPr>
            <w:tcW w:w="987" w:type="dxa"/>
          </w:tcPr>
          <w:p w14:paraId="6D7B154D" w14:textId="77777777" w:rsidR="00F17797" w:rsidRPr="00200E70" w:rsidRDefault="00F17797" w:rsidP="00CA0F33">
            <w:pPr>
              <w:pStyle w:val="01Paragraphe"/>
            </w:pPr>
            <w:r w:rsidRPr="00200E70">
              <w:t>2</w:t>
            </w:r>
            <w:r w:rsidR="00247AED" w:rsidRPr="00200E70">
              <w:t>0 €</w:t>
            </w:r>
          </w:p>
        </w:tc>
      </w:tr>
      <w:tr w:rsidR="00F17797" w14:paraId="610F2B2A" w14:textId="77777777" w:rsidTr="00F17797">
        <w:tc>
          <w:tcPr>
            <w:tcW w:w="4825" w:type="dxa"/>
          </w:tcPr>
          <w:p w14:paraId="16986F5B" w14:textId="0546F314" w:rsidR="00F17797" w:rsidRDefault="00F17797" w:rsidP="00CA0F33">
            <w:pPr>
              <w:pStyle w:val="01Paragraphe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</w:t>
            </w:r>
            <w:r w:rsidR="00695673">
              <w:t>2</w:t>
            </w:r>
            <w:r w:rsidRPr="00994478">
              <w:t xml:space="preserve"> </w:t>
            </w:r>
            <w:r>
              <w:t>ou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87" w:type="dxa"/>
          </w:tcPr>
          <w:p w14:paraId="70F4B84B" w14:textId="77777777" w:rsidR="00F17797" w:rsidRDefault="00F17797" w:rsidP="00CA0F33">
            <w:pPr>
              <w:pStyle w:val="01Paragraphe"/>
            </w:pPr>
            <w:r>
              <w:t>40 €</w:t>
            </w:r>
          </w:p>
        </w:tc>
        <w:tc>
          <w:tcPr>
            <w:tcW w:w="2268" w:type="dxa"/>
          </w:tcPr>
          <w:p w14:paraId="774F04F6" w14:textId="77777777" w:rsidR="00F17797" w:rsidRDefault="00F17797" w:rsidP="00CA0F33">
            <w:pPr>
              <w:pStyle w:val="01Paragraphe"/>
            </w:pPr>
          </w:p>
        </w:tc>
        <w:tc>
          <w:tcPr>
            <w:tcW w:w="987" w:type="dxa"/>
          </w:tcPr>
          <w:p w14:paraId="2D7E4AFA" w14:textId="77777777" w:rsidR="00F17797" w:rsidRDefault="00F17797" w:rsidP="00CA0F33">
            <w:pPr>
              <w:pStyle w:val="01Paragraphe"/>
            </w:pPr>
          </w:p>
        </w:tc>
      </w:tr>
    </w:tbl>
    <w:bookmarkEnd w:id="3"/>
    <w:p w14:paraId="1DF7DC00" w14:textId="77777777" w:rsidR="00D56219" w:rsidRPr="00602856" w:rsidRDefault="00D56219" w:rsidP="00CA0F33">
      <w:pPr>
        <w:pStyle w:val="02GParag"/>
      </w:pPr>
      <w:r>
        <w:t>Clôture des engagements</w:t>
      </w:r>
    </w:p>
    <w:p w14:paraId="48BFBB80" w14:textId="77777777" w:rsidR="00D56219" w:rsidRPr="00BB26B0" w:rsidRDefault="00D56219" w:rsidP="00CA0F33">
      <w:pPr>
        <w:pStyle w:val="01Paragraphe"/>
      </w:pPr>
      <w:r w:rsidRPr="008564C8">
        <w:t>Seule la date de réception des inscriptions sera prise en compte dans l’établissement de la liste officielle</w:t>
      </w:r>
      <w:r w:rsidR="00F427D3">
        <w:t>.</w:t>
      </w:r>
    </w:p>
    <w:p w14:paraId="7E88EC9F" w14:textId="77777777"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65EA88C5" w14:textId="77777777" w:rsidR="00D56219" w:rsidRPr="00602856" w:rsidRDefault="00D56219" w:rsidP="00CA0F33">
      <w:pPr>
        <w:pStyle w:val="02GParag"/>
      </w:pPr>
      <w:r>
        <w:t>Liste des inscrits</w:t>
      </w:r>
    </w:p>
    <w:p w14:paraId="718DD4E4" w14:textId="77777777" w:rsidR="00D56219" w:rsidRPr="007A106D" w:rsidRDefault="00D56219" w:rsidP="00CA0F33">
      <w:pPr>
        <w:pStyle w:val="01Paragraphe"/>
      </w:pPr>
      <w:r w:rsidRPr="00D56219">
        <w:t xml:space="preserve">Les joueurs n’étant pas en conformité avec les conditions de participation (licence, certificat médical et droit de jeu fédéral) </w:t>
      </w:r>
      <w:r w:rsidR="00F427D3">
        <w:t>la</w:t>
      </w:r>
      <w:r w:rsidRPr="00D56219">
        <w:t xml:space="preserve"> veille de la publication de</w:t>
      </w:r>
      <w:r w:rsidR="00EB4EA7">
        <w:t xml:space="preserve"> la liste des inscrits</w:t>
      </w:r>
      <w:r w:rsidRPr="00D56219">
        <w:t>, seront retirés de la liste des inscrits</w:t>
      </w:r>
      <w:r w:rsidR="004B083F">
        <w:t xml:space="preserve"> et</w:t>
      </w:r>
      <w:r w:rsidRPr="00D56219">
        <w:t xml:space="preserve"> seront remplacés par un joueur de la liste d’attente.</w:t>
      </w:r>
    </w:p>
    <w:p w14:paraId="692D1B2C" w14:textId="77777777" w:rsidR="00994478" w:rsidRDefault="00994478" w:rsidP="00CA0F33">
      <w:pPr>
        <w:pStyle w:val="02GParag"/>
      </w:pPr>
      <w:r>
        <w:t>Nombre de joueurs</w:t>
      </w:r>
    </w:p>
    <w:p w14:paraId="02785A01" w14:textId="77777777" w:rsidR="007A48E8" w:rsidRDefault="007A48E8" w:rsidP="007A48E8">
      <w:pPr>
        <w:pStyle w:val="01Paragraphe"/>
      </w:pPr>
      <w:r w:rsidRPr="007A48E8">
        <w:t>108 joueurs et joueuses, dont 24 dames et 11</w:t>
      </w:r>
      <w:r>
        <w:t xml:space="preserve"> wild cards.</w:t>
      </w:r>
    </w:p>
    <w:p w14:paraId="5E2184DF" w14:textId="5FFDB1CD" w:rsidR="007A48E8" w:rsidRDefault="007A48E8" w:rsidP="007A48E8">
      <w:pPr>
        <w:pStyle w:val="01Paragraphe"/>
      </w:pPr>
      <w:r>
        <w:t>10% du champ de joueurs est réservé aux licences Or U16 qui ne rentrent pas via leur place au mérite amateur ou par leur index</w:t>
      </w:r>
      <w:r w:rsidR="009C3D0C">
        <w:t>, soit 2 filles et 8 garçons.</w:t>
      </w:r>
      <w:bookmarkStart w:id="4" w:name="_GoBack"/>
      <w:bookmarkEnd w:id="4"/>
    </w:p>
    <w:p w14:paraId="46F334CF" w14:textId="77777777" w:rsidR="00115494" w:rsidRPr="00B556C8" w:rsidRDefault="00115494" w:rsidP="00115494">
      <w:pPr>
        <w:pStyle w:val="00Ligne"/>
      </w:pPr>
      <w:bookmarkStart w:id="5" w:name="_Hlk504401069"/>
    </w:p>
    <w:p w14:paraId="7B3DB2DA" w14:textId="77777777" w:rsidR="00994478" w:rsidRPr="000302AA" w:rsidRDefault="001B6E9F" w:rsidP="00F65A90">
      <w:pPr>
        <w:pStyle w:val="01Paragraphe"/>
        <w:rPr>
          <w:szCs w:val="20"/>
        </w:rPr>
      </w:pPr>
      <w:r>
        <w:t>L</w:t>
      </w:r>
      <w:r w:rsidR="00994478" w:rsidRPr="000302AA">
        <w:t xml:space="preserve">es joueurs </w:t>
      </w:r>
      <w:r w:rsidR="00994478" w:rsidRPr="000302AA">
        <w:rPr>
          <w:szCs w:val="24"/>
        </w:rPr>
        <w:t>seront retenus dans l’ordre suivant :</w:t>
      </w:r>
    </w:p>
    <w:p w14:paraId="0903443E" w14:textId="77777777" w:rsidR="00F65A90" w:rsidRPr="00F65A90" w:rsidRDefault="00994478" w:rsidP="00F65A90">
      <w:pPr>
        <w:pStyle w:val="11Puce"/>
      </w:pPr>
      <w:r>
        <w:t>L</w:t>
      </w:r>
      <w:r w:rsidRPr="000302AA">
        <w:t xml:space="preserve">es joueurs et </w:t>
      </w:r>
      <w:r w:rsidRPr="00F65A90">
        <w:t>joueuses de nationalité étrangère classés dans les 2000 premiers du WAGR</w:t>
      </w:r>
      <w:r w:rsidR="00F65A90" w:rsidRPr="00F65A90">
        <w:t xml:space="preserve"> et dans les 1500 premières du WWAGR.</w:t>
      </w:r>
    </w:p>
    <w:bookmarkEnd w:id="5"/>
    <w:p w14:paraId="5D5DB97E" w14:textId="77777777" w:rsidR="007A48E8" w:rsidRDefault="007A48E8" w:rsidP="007A48E8">
      <w:pPr>
        <w:pStyle w:val="11Puce"/>
      </w:pPr>
      <w:r>
        <w:t>L</w:t>
      </w:r>
      <w:r w:rsidRPr="004B12DA">
        <w:t>’ordre du Mérite National Amateur</w:t>
      </w:r>
      <w:r>
        <w:t>.</w:t>
      </w:r>
    </w:p>
    <w:p w14:paraId="6FA1EEBD" w14:textId="576838FB" w:rsidR="007A48E8" w:rsidRDefault="007A48E8" w:rsidP="007A48E8">
      <w:pPr>
        <w:pStyle w:val="11Puce"/>
      </w:pPr>
      <w:r>
        <w:t>L</w:t>
      </w:r>
      <w:r w:rsidRPr="004B12DA">
        <w:t>’ordre des index</w:t>
      </w:r>
      <w:r>
        <w:t>.</w:t>
      </w:r>
    </w:p>
    <w:p w14:paraId="3250ABF1" w14:textId="77777777" w:rsidR="007A48E8" w:rsidRDefault="007A48E8" w:rsidP="007A48E8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5BE109F3" w14:textId="77777777" w:rsidR="00EB4EA7" w:rsidRDefault="00EB4EA7" w:rsidP="00602856">
      <w:pPr>
        <w:pStyle w:val="Titre3"/>
      </w:pPr>
      <w:r>
        <w:t>Organisation</w:t>
      </w:r>
    </w:p>
    <w:p w14:paraId="6347A177" w14:textId="77777777" w:rsidR="00DE124B" w:rsidRPr="00602856" w:rsidRDefault="00DE124B" w:rsidP="00CA0F33">
      <w:pPr>
        <w:pStyle w:val="02GParag"/>
      </w:pPr>
      <w:r>
        <w:t>Entrainement</w:t>
      </w:r>
    </w:p>
    <w:p w14:paraId="4E0A4B8A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gratuite : 5 </w:t>
      </w:r>
      <w:r w:rsidRPr="007A106D">
        <w:t>jours avant le début de l'épreuve hors week-end.</w:t>
      </w:r>
    </w:p>
    <w:p w14:paraId="7C00C9E4" w14:textId="77777777" w:rsidR="00DE124B" w:rsidRPr="00602856" w:rsidRDefault="00DE124B" w:rsidP="00CA0F33">
      <w:pPr>
        <w:pStyle w:val="02GParag"/>
      </w:pPr>
      <w:r>
        <w:t>Tirage des départs</w:t>
      </w:r>
    </w:p>
    <w:p w14:paraId="454E2B16" w14:textId="77777777" w:rsidR="00C5309F" w:rsidRPr="00EB4EA7" w:rsidRDefault="00C5309F" w:rsidP="00C5309F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du Mérite puis des index.</w:t>
      </w:r>
    </w:p>
    <w:p w14:paraId="62D7BD30" w14:textId="77777777" w:rsidR="00C5309F" w:rsidRDefault="00C5309F" w:rsidP="00C5309F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</w:t>
      </w:r>
      <w:r>
        <w:t>en inversant le haut et le bas du tableau.</w:t>
      </w:r>
    </w:p>
    <w:p w14:paraId="0981BE3F" w14:textId="77777777" w:rsidR="00C5309F" w:rsidRDefault="00C5309F" w:rsidP="00C5309F">
      <w:pPr>
        <w:pStyle w:val="01Paragraphe"/>
      </w:pPr>
      <w:r>
        <w:t xml:space="preserve">Lors du </w:t>
      </w:r>
      <w:r w:rsidR="004B083F">
        <w:t>3</w:t>
      </w:r>
      <w:r w:rsidR="004B083F" w:rsidRPr="00A61535">
        <w:rPr>
          <w:vertAlign w:val="superscript"/>
        </w:rPr>
        <w:t>ème</w:t>
      </w:r>
      <w:r w:rsidR="004B083F">
        <w:t xml:space="preserve"> tour</w:t>
      </w:r>
      <w:r>
        <w:t xml:space="preserve">, </w:t>
      </w:r>
      <w:r w:rsidRPr="00EB4EA7">
        <w:t>le tirage se fait dans l’ordre</w:t>
      </w:r>
      <w:r w:rsidRPr="00741866">
        <w:t xml:space="preserve"> inverse des résultats</w:t>
      </w:r>
      <w:r>
        <w:t>.</w:t>
      </w:r>
    </w:p>
    <w:p w14:paraId="516C2844" w14:textId="77777777" w:rsidR="00DE124B" w:rsidRPr="00602856" w:rsidRDefault="00DE124B" w:rsidP="00C5309F">
      <w:pPr>
        <w:pStyle w:val="02GParag"/>
      </w:pPr>
      <w:r>
        <w:t>Prix et Remise des Prix</w:t>
      </w:r>
    </w:p>
    <w:p w14:paraId="3D518714" w14:textId="77777777" w:rsidR="00DE124B" w:rsidRPr="007A106D" w:rsidRDefault="00DE124B" w:rsidP="00CA0F33">
      <w:pPr>
        <w:pStyle w:val="01Paragraphe"/>
      </w:pPr>
      <w:r w:rsidRPr="007A106D">
        <w:t>Prix aux trois premiers de chaque série.</w:t>
      </w:r>
    </w:p>
    <w:p w14:paraId="7BB7E3F4" w14:textId="77777777" w:rsidR="00DE124B" w:rsidRDefault="00DE124B" w:rsidP="00CA0F33">
      <w:pPr>
        <w:pStyle w:val="01Paragraphe"/>
      </w:pPr>
      <w:r w:rsidRPr="007A106D">
        <w:t>Remise des prix le dimanche, suivi d’un cocktail.</w:t>
      </w:r>
    </w:p>
    <w:sectPr w:rsidR="00DE12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1D34" w14:textId="77777777" w:rsidR="00E617B1" w:rsidRDefault="00E617B1" w:rsidP="002018DF">
      <w:r>
        <w:separator/>
      </w:r>
    </w:p>
  </w:endnote>
  <w:endnote w:type="continuationSeparator" w:id="0">
    <w:p w14:paraId="7B2918DD" w14:textId="77777777" w:rsidR="00E617B1" w:rsidRDefault="00E617B1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A139C" w14:textId="77777777" w:rsidR="00E617B1" w:rsidRDefault="00E617B1" w:rsidP="002018DF">
      <w:r>
        <w:separator/>
      </w:r>
    </w:p>
  </w:footnote>
  <w:footnote w:type="continuationSeparator" w:id="0">
    <w:p w14:paraId="7EEC967B" w14:textId="77777777" w:rsidR="00E617B1" w:rsidRDefault="00E617B1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24E8" w14:textId="77777777" w:rsidR="0018285E" w:rsidRDefault="006356B0">
    <w:pPr>
      <w:pStyle w:val="En-tte"/>
    </w:pPr>
    <w:r>
      <w:rPr>
        <w:noProof/>
      </w:rPr>
      <w:drawing>
        <wp:inline distT="0" distB="0" distL="0" distR="0" wp14:anchorId="650608F9" wp14:editId="33932BD9">
          <wp:extent cx="650009" cy="648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fg_comite_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0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85E">
      <w:tab/>
    </w:r>
    <w:r w:rsidR="0018285E">
      <w:rPr>
        <w:noProof/>
        <w:lang w:eastAsia="fr-FR"/>
      </w:rPr>
      <w:drawing>
        <wp:inline distT="0" distB="0" distL="0" distR="0" wp14:anchorId="3005F32F" wp14:editId="6F4F1342">
          <wp:extent cx="601160" cy="635635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harme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51" cy="647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85E">
      <w:tab/>
    </w:r>
    <w:r w:rsidR="0018285E">
      <w:rPr>
        <w:noProof/>
        <w:lang w:eastAsia="fr-FR"/>
      </w:rPr>
      <w:drawing>
        <wp:inline distT="0" distB="0" distL="0" distR="0" wp14:anchorId="47A2CC3A" wp14:editId="4B81B3A6">
          <wp:extent cx="1200150" cy="586514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pStyle w:val="111Pu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76A0F"/>
    <w:rsid w:val="000B11CD"/>
    <w:rsid w:val="000B5238"/>
    <w:rsid w:val="000C6CDD"/>
    <w:rsid w:val="000E3952"/>
    <w:rsid w:val="000F19B2"/>
    <w:rsid w:val="000F2054"/>
    <w:rsid w:val="00115494"/>
    <w:rsid w:val="00125823"/>
    <w:rsid w:val="001635C2"/>
    <w:rsid w:val="0018285E"/>
    <w:rsid w:val="001B6E9F"/>
    <w:rsid w:val="00200E70"/>
    <w:rsid w:val="002018DF"/>
    <w:rsid w:val="00246302"/>
    <w:rsid w:val="00247AED"/>
    <w:rsid w:val="00247D96"/>
    <w:rsid w:val="0026166C"/>
    <w:rsid w:val="002A4C4E"/>
    <w:rsid w:val="002B66B3"/>
    <w:rsid w:val="002B6DED"/>
    <w:rsid w:val="002F5E55"/>
    <w:rsid w:val="00343E27"/>
    <w:rsid w:val="00436CA6"/>
    <w:rsid w:val="00483514"/>
    <w:rsid w:val="00483C8E"/>
    <w:rsid w:val="004B083F"/>
    <w:rsid w:val="004D5D44"/>
    <w:rsid w:val="00501860"/>
    <w:rsid w:val="00553516"/>
    <w:rsid w:val="005F092A"/>
    <w:rsid w:val="005F6F92"/>
    <w:rsid w:val="00602856"/>
    <w:rsid w:val="006356B0"/>
    <w:rsid w:val="00657E3F"/>
    <w:rsid w:val="0066476D"/>
    <w:rsid w:val="0067195C"/>
    <w:rsid w:val="00672F82"/>
    <w:rsid w:val="00695673"/>
    <w:rsid w:val="006C2BBB"/>
    <w:rsid w:val="006D5E09"/>
    <w:rsid w:val="0070295F"/>
    <w:rsid w:val="00712E77"/>
    <w:rsid w:val="00741866"/>
    <w:rsid w:val="0075798D"/>
    <w:rsid w:val="0077075F"/>
    <w:rsid w:val="0077108D"/>
    <w:rsid w:val="00773C01"/>
    <w:rsid w:val="00775D73"/>
    <w:rsid w:val="00777E5F"/>
    <w:rsid w:val="007A48E8"/>
    <w:rsid w:val="00823A8B"/>
    <w:rsid w:val="008979F9"/>
    <w:rsid w:val="009067EA"/>
    <w:rsid w:val="00910B82"/>
    <w:rsid w:val="00924D74"/>
    <w:rsid w:val="009323D8"/>
    <w:rsid w:val="00993BCA"/>
    <w:rsid w:val="00994478"/>
    <w:rsid w:val="009C3D0C"/>
    <w:rsid w:val="009D62B1"/>
    <w:rsid w:val="00AA3D98"/>
    <w:rsid w:val="00AD71CA"/>
    <w:rsid w:val="00AE1FE4"/>
    <w:rsid w:val="00BA5BFC"/>
    <w:rsid w:val="00BB172D"/>
    <w:rsid w:val="00BB20B3"/>
    <w:rsid w:val="00BC105A"/>
    <w:rsid w:val="00C5309F"/>
    <w:rsid w:val="00C66130"/>
    <w:rsid w:val="00C768F9"/>
    <w:rsid w:val="00C97ACF"/>
    <w:rsid w:val="00CA0F33"/>
    <w:rsid w:val="00CC4C19"/>
    <w:rsid w:val="00D159FF"/>
    <w:rsid w:val="00D44290"/>
    <w:rsid w:val="00D56219"/>
    <w:rsid w:val="00D74068"/>
    <w:rsid w:val="00D74F3E"/>
    <w:rsid w:val="00D85479"/>
    <w:rsid w:val="00D93A4A"/>
    <w:rsid w:val="00D970FF"/>
    <w:rsid w:val="00DB08B9"/>
    <w:rsid w:val="00DB5F47"/>
    <w:rsid w:val="00DC17EE"/>
    <w:rsid w:val="00DE124B"/>
    <w:rsid w:val="00DE2997"/>
    <w:rsid w:val="00E35399"/>
    <w:rsid w:val="00E40875"/>
    <w:rsid w:val="00E43515"/>
    <w:rsid w:val="00E617B1"/>
    <w:rsid w:val="00EB4EA7"/>
    <w:rsid w:val="00ED6EB7"/>
    <w:rsid w:val="00F17797"/>
    <w:rsid w:val="00F241B4"/>
    <w:rsid w:val="00F427D3"/>
    <w:rsid w:val="00F65A90"/>
    <w:rsid w:val="00F80569"/>
    <w:rsid w:val="00F812E0"/>
    <w:rsid w:val="00FC189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3F03B"/>
  <w15:chartTrackingRefBased/>
  <w15:docId w15:val="{DF8F06F6-9CAF-4F1D-8F67-BB65ECB7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124B"/>
    <w:pPr>
      <w:suppressAutoHyphens/>
      <w:spacing w:after="0" w:line="240" w:lineRule="auto"/>
      <w:contextualSpacing/>
    </w:pPr>
    <w:rPr>
      <w:rFonts w:ascii="Calibri" w:eastAsia="Calibri" w:hAnsi="Calibri" w:cs="Calibri"/>
      <w:sz w:val="20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CA0F33"/>
    <w:pPr>
      <w:ind w:left="142"/>
      <w:contextualSpacing w:val="0"/>
    </w:pPr>
    <w:rPr>
      <w:sz w:val="22"/>
      <w:lang w:eastAsia="fr-FR"/>
    </w:rPr>
  </w:style>
  <w:style w:type="paragraph" w:customStyle="1" w:styleId="04CParag">
    <w:name w:val="04 C Parag"/>
    <w:basedOn w:val="01Paragraphe"/>
    <w:qFormat/>
    <w:rsid w:val="00DE124B"/>
    <w:pPr>
      <w:jc w:val="center"/>
    </w:pPr>
  </w:style>
  <w:style w:type="paragraph" w:customStyle="1" w:styleId="05CGParag">
    <w:name w:val="05 CG Parag"/>
    <w:basedOn w:val="04CParag"/>
    <w:qFormat/>
    <w:rsid w:val="00DE124B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  <w:spacing w:before="60"/>
      <w:contextualSpacing/>
    </w:pPr>
    <w:rPr>
      <w:szCs w:val="14"/>
    </w:rPr>
  </w:style>
  <w:style w:type="paragraph" w:customStyle="1" w:styleId="10Paragraphe">
    <w:name w:val="10 Paragraphe"/>
    <w:basedOn w:val="Normal"/>
    <w:qFormat/>
    <w:rsid w:val="00DE124B"/>
    <w:pPr>
      <w:spacing w:before="60"/>
    </w:pPr>
    <w:rPr>
      <w:sz w:val="2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41Date">
    <w:name w:val="41 Date"/>
    <w:basedOn w:val="Citation"/>
    <w:qFormat/>
    <w:rsid w:val="00DE124B"/>
    <w:pPr>
      <w:suppressAutoHyphens w:val="0"/>
      <w:spacing w:before="0" w:after="0" w:line="288" w:lineRule="auto"/>
      <w:ind w:left="0" w:right="0"/>
      <w:contextualSpacing w:val="0"/>
      <w:jc w:val="left"/>
    </w:pPr>
    <w:rPr>
      <w:rFonts w:asciiTheme="minorHAnsi" w:eastAsiaTheme="minorHAnsi" w:hAnsiTheme="minorHAnsi" w:cstheme="minorBidi"/>
      <w:noProof/>
      <w:color w:val="5B9BD5" w:themeColor="accent1"/>
      <w:kern w:val="20"/>
      <w:szCs w:val="20"/>
      <w:lang w:eastAsia="en-US"/>
    </w:rPr>
  </w:style>
  <w:style w:type="paragraph" w:customStyle="1" w:styleId="42Lieu">
    <w:name w:val="42 Lieu"/>
    <w:basedOn w:val="41Date"/>
    <w:qFormat/>
    <w:rsid w:val="00DE124B"/>
    <w:pPr>
      <w:ind w:left="426"/>
      <w:jc w:val="right"/>
    </w:pPr>
  </w:style>
  <w:style w:type="paragraph" w:customStyle="1" w:styleId="111Puce">
    <w:name w:val="111 Puce"/>
    <w:basedOn w:val="11Puce"/>
    <w:qFormat/>
    <w:rsid w:val="00DE124B"/>
    <w:pPr>
      <w:numPr>
        <w:numId w:val="2"/>
      </w:numPr>
      <w:spacing w:before="0"/>
      <w:ind w:left="641" w:hanging="357"/>
    </w:pPr>
    <w:rPr>
      <w:rFonts w:asciiTheme="minorHAnsi" w:hAnsiTheme="minorHAnsi"/>
      <w:sz w:val="20"/>
    </w:rPr>
  </w:style>
  <w:style w:type="paragraph" w:customStyle="1" w:styleId="101Paragraphe">
    <w:name w:val="101 Paragraphe"/>
    <w:basedOn w:val="01Paragraphe"/>
    <w:qFormat/>
    <w:rsid w:val="00DE124B"/>
    <w:pPr>
      <w:spacing w:before="120" w:after="120"/>
      <w:contextualSpacing/>
    </w:pPr>
    <w:rPr>
      <w:rFonts w:asciiTheme="minorHAnsi" w:hAnsiTheme="minorHAnsi"/>
      <w:noProof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spacing w:before="60"/>
      <w:ind w:left="0"/>
    </w:pPr>
    <w:rPr>
      <w:b/>
      <w:u w:val="single"/>
    </w:rPr>
  </w:style>
  <w:style w:type="paragraph" w:customStyle="1" w:styleId="00Ligne">
    <w:name w:val="00_Ligne"/>
    <w:basedOn w:val="01Paragraphe"/>
    <w:rsid w:val="0066476D"/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B8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2FFE-3937-4FDC-BF20-DAAF53DB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BATTISTELLA</dc:creator>
  <cp:keywords/>
  <dc:description/>
  <cp:lastModifiedBy>Marc BATTISTELLA</cp:lastModifiedBy>
  <cp:revision>4</cp:revision>
  <cp:lastPrinted>2016-01-27T13:14:00Z</cp:lastPrinted>
  <dcterms:created xsi:type="dcterms:W3CDTF">2019-10-31T12:15:00Z</dcterms:created>
  <dcterms:modified xsi:type="dcterms:W3CDTF">2020-01-17T12:14:00Z</dcterms:modified>
</cp:coreProperties>
</file>